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360"/>
        <w:rPr>
          <w:sz w:val="32"/>
          <w:szCs w:val="32"/>
        </w:rPr>
      </w:pPr>
      <w:r>
        <w:drawing>
          <wp:anchor behindDoc="0" distT="0" distB="0" distL="114300" distR="114300" simplePos="0" locked="0" layoutInCell="0" allowOverlap="1" relativeHeight="2">
            <wp:simplePos x="0" y="0"/>
            <wp:positionH relativeFrom="margin">
              <wp:align>center</wp:align>
            </wp:positionH>
            <wp:positionV relativeFrom="paragraph">
              <wp:posOffset>9525</wp:posOffset>
            </wp:positionV>
            <wp:extent cx="647700" cy="807720"/>
            <wp:effectExtent l="0" t="0" r="0" b="0"/>
            <wp:wrapSquare wrapText="bothSides"/>
            <wp:docPr id="1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br w:type="textWrapping" w:clear="all"/>
      </w:r>
    </w:p>
    <w:p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cs="Times New Roman" w:ascii="Times New Roman" w:hAnsi="Times New Roman"/>
          <w:sz w:val="32"/>
          <w:szCs w:val="32"/>
        </w:rPr>
        <w:t>П О С Т А Н О В Л Е Н И Е</w:t>
      </w:r>
    </w:p>
    <w:p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cs="Times New Roman" w:ascii="Times New Roman" w:hAnsi="Times New Roman"/>
          <w:sz w:val="28"/>
          <w:szCs w:val="28"/>
        </w:rPr>
        <w:t>ПРАВИТЕЛЬСТВА</w:t>
      </w:r>
      <w:r>
        <w:rPr>
          <w:rFonts w:cs="Times New Roman" w:ascii="Times New Roman" w:hAnsi="Times New Roman"/>
          <w:sz w:val="28"/>
          <w:szCs w:val="28"/>
          <w:lang w:val="en-US"/>
        </w:rPr>
        <w:t xml:space="preserve"> </w:t>
      </w:r>
    </w:p>
    <w:p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КАМЧАТСКОГО КРАЯ</w:t>
      </w:r>
    </w:p>
    <w:p>
      <w:pPr>
        <w:pStyle w:val="Normal"/>
        <w:spacing w:lineRule="auto" w:line="360"/>
        <w:jc w:val="center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spacing w:lineRule="auto" w:line="360"/>
        <w:jc w:val="center"/>
        <w:rPr>
          <w:sz w:val="16"/>
          <w:szCs w:val="16"/>
        </w:rPr>
      </w:pPr>
      <w:r>
        <w:rPr>
          <w:sz w:val="16"/>
          <w:szCs w:val="16"/>
        </w:rPr>
      </w:r>
    </w:p>
    <w:tbl>
      <w:tblPr>
        <w:tblW w:w="439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lastRow="0" w:firstRow="1" w:lastColumn="0" w:firstColumn="1" w:val="04a0" w:noHBand="0" w:noVBand="1"/>
      </w:tblPr>
      <w:tblGrid>
        <w:gridCol w:w="1983"/>
        <w:gridCol w:w="427"/>
        <w:gridCol w:w="1985"/>
      </w:tblGrid>
      <w:tr>
        <w:trPr/>
        <w:tc>
          <w:tcPr>
            <w:tcW w:w="1983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34" w:right="34" w:hanging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bookmarkStart w:id="0" w:name="REGDATESTAMP"/>
            <w:r>
              <w:rPr>
                <w:rFonts w:eastAsia="Calibri" w:eastAsiaTheme="minorHAnsi"/>
                <w:szCs w:val="20"/>
                <w:lang w:val="en-US" w:eastAsia="en-US"/>
              </w:rPr>
              <w:t>[</w:t>
            </w:r>
            <w:r>
              <w:rPr>
                <w:rFonts w:eastAsia="Calibri" w:eastAsiaTheme="minorHAnsi"/>
                <w:szCs w:val="20"/>
                <w:lang w:eastAsia="en-US"/>
              </w:rPr>
              <w:t>Д</w:t>
            </w:r>
            <w:r>
              <w:rPr>
                <w:rFonts w:eastAsia="Calibri" w:eastAsiaTheme="minorHAnsi"/>
                <w:sz w:val="18"/>
                <w:szCs w:val="20"/>
                <w:lang w:eastAsia="en-US"/>
              </w:rPr>
              <w:t>ата</w:t>
            </w:r>
            <w:r>
              <w:rPr>
                <w:rFonts w:eastAsia="Calibri" w:eastAsiaTheme="minorHAnsi"/>
                <w:sz w:val="24"/>
                <w:szCs w:val="20"/>
                <w:lang w:eastAsia="en-US"/>
              </w:rPr>
              <w:t xml:space="preserve"> </w:t>
            </w:r>
            <w:r>
              <w:rPr>
                <w:rFonts w:eastAsia="Calibri" w:eastAsiaTheme="minorHAnsi"/>
                <w:sz w:val="18"/>
                <w:szCs w:val="20"/>
                <w:lang w:eastAsia="en-US"/>
              </w:rPr>
              <w:t>регистрации</w:t>
            </w:r>
            <w:r>
              <w:rPr>
                <w:rFonts w:eastAsia="Calibri" w:eastAsiaTheme="minorHAnsi"/>
                <w:szCs w:val="20"/>
                <w:lang w:val="en-US" w:eastAsia="en-US"/>
              </w:rPr>
              <w:t>]</w:t>
            </w:r>
            <w:bookmarkEnd w:id="0"/>
          </w:p>
        </w:tc>
        <w:tc>
          <w:tcPr>
            <w:tcW w:w="427" w:type="dxa"/>
            <w:tcBorders/>
          </w:tcPr>
          <w:p>
            <w:pPr>
              <w:pStyle w:val="Normal"/>
              <w:widowControl w:val="false"/>
              <w:spacing w:lineRule="auto" w:line="27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 w:eastAsiaTheme="minorHAnsi"/>
                <w:szCs w:val="20"/>
                <w:lang w:eastAsia="en-US"/>
              </w:rPr>
              <w:t>№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rFonts w:eastAsia="Calibri"/>
                <w:b/>
                <w:b/>
                <w:sz w:val="20"/>
                <w:szCs w:val="20"/>
                <w:lang w:eastAsia="en-US"/>
              </w:rPr>
            </w:pPr>
            <w:bookmarkStart w:id="1" w:name="REGNUMSTAMP"/>
            <w:r>
              <w:rPr>
                <w:rFonts w:eastAsia="Calibri" w:eastAsiaTheme="minorHAnsi"/>
                <w:szCs w:val="20"/>
                <w:lang w:val="en-US" w:eastAsia="en-US"/>
              </w:rPr>
              <w:t>[</w:t>
            </w:r>
            <w:r>
              <w:rPr>
                <w:rFonts w:eastAsia="Calibri" w:eastAsiaTheme="minorHAnsi"/>
                <w:szCs w:val="20"/>
                <w:lang w:eastAsia="en-US"/>
              </w:rPr>
              <w:t>Н</w:t>
            </w:r>
            <w:r>
              <w:rPr>
                <w:rFonts w:eastAsia="Calibri" w:eastAsiaTheme="minorHAnsi"/>
                <w:sz w:val="18"/>
                <w:szCs w:val="20"/>
                <w:lang w:eastAsia="en-US"/>
              </w:rPr>
              <w:t>омер</w:t>
            </w:r>
            <w:r>
              <w:rPr>
                <w:rFonts w:eastAsia="Calibri" w:eastAsiaTheme="minorHAnsi"/>
                <w:sz w:val="24"/>
                <w:szCs w:val="20"/>
                <w:lang w:eastAsia="en-US"/>
              </w:rPr>
              <w:t xml:space="preserve"> </w:t>
            </w:r>
            <w:r>
              <w:rPr>
                <w:rFonts w:eastAsia="Calibri" w:eastAsiaTheme="minorHAnsi"/>
                <w:sz w:val="18"/>
                <w:szCs w:val="20"/>
                <w:lang w:eastAsia="en-US"/>
              </w:rPr>
              <w:t>документа</w:t>
            </w:r>
            <w:r>
              <w:rPr>
                <w:rFonts w:eastAsia="Calibri" w:eastAsiaTheme="minorHAnsi"/>
                <w:szCs w:val="20"/>
                <w:lang w:val="en-US" w:eastAsia="en-US"/>
              </w:rPr>
              <w:t>]</w:t>
            </w:r>
            <w:bookmarkEnd w:id="1"/>
          </w:p>
        </w:tc>
      </w:tr>
    </w:tbl>
    <w:p>
      <w:pPr>
        <w:pStyle w:val="Normal"/>
        <w:tabs>
          <w:tab w:val="clear" w:pos="708"/>
          <w:tab w:val="left" w:pos="3969" w:leader="none"/>
        </w:tabs>
        <w:spacing w:lineRule="auto" w:line="276"/>
        <w:ind w:right="5526" w:hanging="0"/>
        <w:jc w:val="center"/>
        <w:rPr>
          <w:rFonts w:eastAsia="Calibri"/>
          <w:bCs/>
          <w:szCs w:val="28"/>
          <w:lang w:eastAsia="en-US"/>
        </w:rPr>
      </w:pPr>
      <w:r>
        <w:rPr>
          <w:rFonts w:eastAsia="Calibri" w:eastAsiaTheme="minorHAnsi"/>
          <w:bCs/>
          <w:sz w:val="24"/>
          <w:szCs w:val="28"/>
          <w:lang w:eastAsia="en-US"/>
        </w:rPr>
        <w:t>г. Петропавловск-Камчатский</w:t>
      </w:r>
    </w:p>
    <w:p>
      <w:pPr>
        <w:pStyle w:val="ConsPlusNormal"/>
        <w:widowControl/>
        <w:ind w:hanging="0"/>
        <w:jc w:val="center"/>
        <w:rPr/>
      </w:pPr>
      <w:r>
        <w:rPr/>
      </w:r>
    </w:p>
    <w:tbl>
      <w:tblPr>
        <w:tblW w:w="885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000" w:noHBand="0" w:lastColumn="0" w:firstColumn="0" w:lastRow="0" w:firstRow="0"/>
      </w:tblPr>
      <w:tblGrid>
        <w:gridCol w:w="5265"/>
        <w:gridCol w:w="3590"/>
      </w:tblGrid>
      <w:tr>
        <w:trPr>
          <w:trHeight w:val="1101" w:hRule="atLeast"/>
        </w:trPr>
        <w:tc>
          <w:tcPr>
            <w:tcW w:w="5265" w:type="dxa"/>
            <w:tcBorders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108" w:after="108"/>
              <w:ind w:left="0" w:hanging="0"/>
              <w:jc w:val="both"/>
              <w:outlineLvl w:val="0"/>
              <w:rPr>
                <w:szCs w:val="28"/>
              </w:rPr>
            </w:pPr>
            <w:r>
              <w:rPr>
                <w:szCs w:val="28"/>
              </w:rPr>
              <w:t>О внесении изменений в приложение к постановлению Правительства Камчатского края от 26.12.2022 № 720-П «Об утверждении Территориальной программы государственных гарантий бесплатного оказания гражданам медицинской помощи на территории Камчатского края на 2023 год и на плановый период 2024 и 2025 годов»</w:t>
            </w:r>
          </w:p>
        </w:tc>
        <w:tc>
          <w:tcPr>
            <w:tcW w:w="3590" w:type="dxa"/>
            <w:tcBorders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hanging="0"/>
              <w:jc w:val="both"/>
              <w:outlineLvl w:val="0"/>
              <w:rPr>
                <w:szCs w:val="28"/>
              </w:rPr>
            </w:pPr>
            <w:r>
              <w:rPr>
                <w:szCs w:val="28"/>
              </w:rPr>
            </w:r>
          </w:p>
        </w:tc>
      </w:tr>
    </w:tbl>
    <w:p>
      <w:pPr>
        <w:pStyle w:val="Normal"/>
        <w:ind w:firstLine="709"/>
        <w:jc w:val="both"/>
        <w:rPr/>
      </w:pPr>
      <w:r>
        <w:rPr/>
      </w:r>
    </w:p>
    <w:p>
      <w:pPr>
        <w:pStyle w:val="Normal"/>
        <w:ind w:firstLine="709"/>
        <w:jc w:val="both"/>
        <w:rPr/>
      </w:pPr>
      <w:r>
        <w:rPr/>
        <w:t>ПРАВИТЕЛЬСТВО ПОСТАНОВЛЯЕТ:</w:t>
      </w:r>
    </w:p>
    <w:p>
      <w:pPr>
        <w:pStyle w:val="Normal"/>
        <w:tabs>
          <w:tab w:val="clear" w:pos="708"/>
          <w:tab w:val="left" w:pos="1276" w:leader="none"/>
        </w:tabs>
        <w:ind w:firstLine="709"/>
        <w:jc w:val="both"/>
        <w:rPr/>
      </w:pPr>
      <w:r>
        <w:rPr/>
      </w:r>
    </w:p>
    <w:p>
      <w:pPr>
        <w:pStyle w:val="Normal"/>
        <w:tabs>
          <w:tab w:val="clear" w:pos="708"/>
          <w:tab w:val="left" w:pos="0" w:leader="none"/>
        </w:tabs>
        <w:ind w:firstLine="709"/>
        <w:jc w:val="both"/>
        <w:rPr>
          <w:szCs w:val="28"/>
        </w:rPr>
      </w:pPr>
      <w:r>
        <w:rPr>
          <w:szCs w:val="28"/>
        </w:rPr>
        <w:t>1</w:t>
      </w:r>
      <w:r>
        <w:rPr>
          <w:szCs w:val="20"/>
        </w:rPr>
        <w:t>. Внести в приложение к п</w:t>
      </w:r>
      <w:r>
        <w:rPr>
          <w:szCs w:val="28"/>
        </w:rPr>
        <w:t>остановлению Правительства Камчатского края от 26.12.2022 № 720-П «Об утверждении Территориальной программы государственных гарантий бесплатного оказания гражданам медицинской помощи на территории Камчатского края на 2023 год и на плановый период 2024 и 2025 годов» изменения согласно приложению к настоящему постановлению.</w:t>
      </w:r>
    </w:p>
    <w:p>
      <w:pPr>
        <w:pStyle w:val="Normal"/>
        <w:ind w:firstLine="709"/>
        <w:jc w:val="both"/>
        <w:rPr>
          <w:rFonts w:ascii="Times New Roman CYR" w:hAnsi="Times New Roman CYR"/>
        </w:rPr>
      </w:pPr>
      <w:r>
        <w:rPr>
          <w:bCs/>
        </w:rPr>
        <w:t xml:space="preserve">2. </w:t>
      </w:r>
      <w:r>
        <w:rPr>
          <w:rFonts w:ascii="Times New Roman CYR" w:hAnsi="Times New Roman CYR"/>
        </w:rPr>
        <w:t>Настоящее постановление вступает в силу после дня его официального опубликования.</w:t>
      </w:r>
    </w:p>
    <w:p>
      <w:pPr>
        <w:pStyle w:val="Normal"/>
        <w:ind w:firstLine="567"/>
        <w:jc w:val="both"/>
        <w:rPr>
          <w:rFonts w:ascii="Times New Roman CYR" w:hAnsi="Times New Roman CYR"/>
        </w:rPr>
      </w:pPr>
      <w:r>
        <w:rPr>
          <w:rFonts w:ascii="Times New Roman CYR" w:hAnsi="Times New Roman CYR"/>
        </w:rPr>
      </w:r>
    </w:p>
    <w:p>
      <w:pPr>
        <w:pStyle w:val="Normal"/>
        <w:ind w:firstLine="567"/>
        <w:jc w:val="both"/>
        <w:rPr>
          <w:rFonts w:ascii="Times New Roman CYR" w:hAnsi="Times New Roman CYR"/>
        </w:rPr>
      </w:pPr>
      <w:r>
        <w:rPr>
          <w:rFonts w:ascii="Times New Roman CYR" w:hAnsi="Times New Roman CYR"/>
        </w:rPr>
      </w:r>
    </w:p>
    <w:p>
      <w:pPr>
        <w:pStyle w:val="Normal"/>
        <w:ind w:firstLine="567"/>
        <w:jc w:val="both"/>
        <w:rPr>
          <w:szCs w:val="28"/>
        </w:rPr>
      </w:pPr>
      <w:r>
        <w:rPr>
          <w:szCs w:val="28"/>
        </w:rPr>
      </w:r>
    </w:p>
    <w:tbl>
      <w:tblPr>
        <w:tblW w:w="9815" w:type="dxa"/>
        <w:jc w:val="left"/>
        <w:tblInd w:w="-34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noVBand="1" w:val="04a0" w:noHBand="0" w:lastColumn="0" w:firstColumn="1" w:lastRow="0" w:firstRow="1"/>
      </w:tblPr>
      <w:tblGrid>
        <w:gridCol w:w="3862"/>
        <w:gridCol w:w="4102"/>
        <w:gridCol w:w="1851"/>
      </w:tblGrid>
      <w:tr>
        <w:trPr>
          <w:trHeight w:val="2043" w:hRule="atLeast"/>
        </w:trPr>
        <w:tc>
          <w:tcPr>
            <w:tcW w:w="3862" w:type="dxa"/>
            <w:tcBorders/>
            <w:shd w:color="auto" w:fill="auto" w:val="clear"/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bidi="ru-RU"/>
              </w:rPr>
              <w:t>Председатель Правительства Камчатского края</w:t>
            </w:r>
          </w:p>
        </w:tc>
        <w:tc>
          <w:tcPr>
            <w:tcW w:w="4102" w:type="dxa"/>
            <w:tcBorders/>
            <w:shd w:color="auto" w:fill="auto" w:val="clear"/>
          </w:tcPr>
          <w:p>
            <w:pPr>
              <w:pStyle w:val="Normal"/>
              <w:widowControl w:val="false"/>
              <w:rPr/>
            </w:pPr>
            <w:bookmarkStart w:id="2" w:name="SIGNERSTAMP1"/>
            <w:r>
              <w:rPr/>
              <w:t>[горизонтальный штамп подписи 1]</w:t>
            </w:r>
            <w:bookmarkEnd w:id="2"/>
          </w:p>
          <w:p>
            <w:pPr>
              <w:pStyle w:val="Normal"/>
              <w:widowControl w:val="false"/>
              <w:ind w:left="142" w:hanging="142"/>
              <w:jc w:val="right"/>
              <w:rPr/>
            </w:pPr>
            <w:r>
              <w:rPr/>
            </w:r>
          </w:p>
        </w:tc>
        <w:tc>
          <w:tcPr>
            <w:tcW w:w="1851" w:type="dxa"/>
            <w:tcBorders/>
            <w:shd w:color="auto" w:fill="auto" w:val="clear"/>
          </w:tcPr>
          <w:p>
            <w:pPr>
              <w:pStyle w:val="Normal"/>
              <w:widowControl w:val="false"/>
              <w:ind w:left="142" w:right="141" w:hanging="142"/>
              <w:jc w:val="right"/>
              <w:rPr/>
            </w:pPr>
            <w:r>
              <w:rPr/>
            </w:r>
          </w:p>
          <w:p>
            <w:pPr>
              <w:pStyle w:val="Normal"/>
              <w:widowControl w:val="false"/>
              <w:ind w:left="142" w:right="141" w:hanging="142"/>
              <w:jc w:val="right"/>
              <w:rPr/>
            </w:pPr>
            <w:r>
              <w:rPr/>
              <w:t>Е.А. Чекин</w:t>
            </w:r>
          </w:p>
        </w:tc>
      </w:tr>
    </w:tbl>
    <w:p>
      <w:pPr>
        <w:pStyle w:val="Normal"/>
        <w:rPr>
          <w:szCs w:val="28"/>
        </w:rPr>
      </w:pPr>
      <w:r>
        <w:rPr>
          <w:szCs w:val="28"/>
        </w:rPr>
      </w:r>
      <w:r>
        <w:br w:type="page"/>
      </w:r>
    </w:p>
    <w:p>
      <w:pPr>
        <w:pStyle w:val="ConsPlusNormal"/>
        <w:numPr>
          <w:ilvl w:val="0"/>
          <w:numId w:val="0"/>
        </w:numPr>
        <w:ind w:left="5387" w:hanging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Приложение к постановлению Правительства Камчатского края </w:t>
      </w:r>
    </w:p>
    <w:p>
      <w:pPr>
        <w:pStyle w:val="ConsPlusNormal"/>
        <w:numPr>
          <w:ilvl w:val="0"/>
          <w:numId w:val="0"/>
        </w:numPr>
        <w:ind w:left="5387" w:hanging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от [Дата регистрации] № [Номер документа]</w:t>
      </w:r>
    </w:p>
    <w:p>
      <w:pPr>
        <w:pStyle w:val="Normal"/>
        <w:ind w:firstLine="709"/>
        <w:jc w:val="both"/>
        <w:rPr>
          <w:szCs w:val="28"/>
        </w:rPr>
      </w:pPr>
      <w:r>
        <w:rPr>
          <w:szCs w:val="28"/>
        </w:rPr>
      </w:r>
    </w:p>
    <w:p>
      <w:pPr>
        <w:pStyle w:val="Normal"/>
        <w:jc w:val="center"/>
        <w:rPr>
          <w:szCs w:val="28"/>
        </w:rPr>
      </w:pPr>
      <w:r>
        <w:rPr>
          <w:szCs w:val="28"/>
        </w:rPr>
      </w:r>
    </w:p>
    <w:p>
      <w:pPr>
        <w:pStyle w:val="Normal"/>
        <w:jc w:val="center"/>
        <w:rPr>
          <w:szCs w:val="28"/>
        </w:rPr>
      </w:pPr>
      <w:r>
        <w:rPr>
          <w:szCs w:val="28"/>
        </w:rPr>
        <w:t>Изменения</w:t>
      </w:r>
    </w:p>
    <w:p>
      <w:pPr>
        <w:pStyle w:val="Normal"/>
        <w:jc w:val="center"/>
        <w:rPr>
          <w:szCs w:val="28"/>
        </w:rPr>
      </w:pPr>
      <w:r>
        <w:rPr>
          <w:szCs w:val="20"/>
        </w:rPr>
        <w:t>в приложение к п</w:t>
      </w:r>
      <w:r>
        <w:rPr>
          <w:szCs w:val="28"/>
        </w:rPr>
        <w:t xml:space="preserve">остановлению Правительства Камчатского края </w:t>
      </w:r>
    </w:p>
    <w:p>
      <w:pPr>
        <w:pStyle w:val="Normal"/>
        <w:jc w:val="center"/>
        <w:rPr>
          <w:szCs w:val="28"/>
        </w:rPr>
      </w:pPr>
      <w:r>
        <w:rPr>
          <w:szCs w:val="28"/>
        </w:rPr>
        <w:t xml:space="preserve">от 26.12.2022 № 720-П «Об утверждении Территориальной программы государственных гарантий бесплатного оказания гражданам медицинской помощи на территории Камчатского края на 2023 год и на плановый период </w:t>
      </w:r>
    </w:p>
    <w:p>
      <w:pPr>
        <w:pStyle w:val="Normal"/>
        <w:jc w:val="center"/>
        <w:rPr>
          <w:szCs w:val="28"/>
        </w:rPr>
      </w:pPr>
      <w:r>
        <w:rPr>
          <w:szCs w:val="28"/>
        </w:rPr>
        <w:t>2024 и 2025 годов» (далее – Территориальная программа)</w:t>
      </w:r>
    </w:p>
    <w:p>
      <w:pPr>
        <w:pStyle w:val="Normal"/>
        <w:ind w:firstLine="709"/>
        <w:jc w:val="both"/>
        <w:rPr>
          <w:szCs w:val="28"/>
        </w:rPr>
      </w:pPr>
      <w:r>
        <w:rPr>
          <w:szCs w:val="28"/>
        </w:rPr>
      </w:r>
    </w:p>
    <w:p>
      <w:pPr>
        <w:pStyle w:val="Normal"/>
        <w:widowControl/>
        <w:suppressAutoHyphens w:val="true"/>
        <w:bidi w:val="0"/>
        <w:spacing w:before="0" w:after="0"/>
        <w:ind w:left="0" w:right="0" w:firstLine="709"/>
        <w:jc w:val="both"/>
        <w:rPr>
          <w:szCs w:val="28"/>
        </w:rPr>
      </w:pPr>
      <w:r>
        <w:rPr>
          <w:szCs w:val="28"/>
        </w:rPr>
        <w:t xml:space="preserve">1. Часть 57 раздела 5 изложить в следующей редакции: </w:t>
      </w:r>
    </w:p>
    <w:p>
      <w:pPr>
        <w:pStyle w:val="Normal"/>
        <w:widowControl w:val="false"/>
        <w:spacing w:lineRule="auto" w:line="240" w:before="0" w:after="0"/>
        <w:ind w:left="0" w:right="0" w:firstLine="709"/>
        <w:jc w:val="both"/>
        <w:rPr/>
      </w:pPr>
      <w:r>
        <w:rPr>
          <w:sz w:val="28"/>
          <w:lang w:eastAsia="ru-RU"/>
        </w:rPr>
        <w:t>«</w:t>
      </w:r>
      <w:r>
        <w:rPr>
          <w:sz w:val="28"/>
          <w:lang w:eastAsia="ru-RU"/>
        </w:rPr>
        <w:t xml:space="preserve">57. </w:t>
      </w:r>
      <w:r>
        <w:rPr>
          <w:sz w:val="28"/>
          <w:lang w:eastAsia="ru-RU"/>
        </w:rPr>
        <w:t xml:space="preserve">При предоставлении одному из родителей, иному члену семьи или иному законному представителю права нахождения в медицинской организации в стационарных условиях с ребенком в возрасте до 4 лет, с ребенком старше </w:t>
      </w:r>
      <w:r>
        <w:rPr>
          <w:sz w:val="28"/>
          <w:lang w:eastAsia="ru-RU"/>
        </w:rPr>
        <w:t>указанного</w:t>
      </w:r>
      <w:r>
        <w:rPr>
          <w:sz w:val="28"/>
          <w:lang w:eastAsia="ru-RU"/>
        </w:rPr>
        <w:t xml:space="preserve"> возраста — при наличии медицинских показаний, </w:t>
      </w:r>
      <w:r>
        <w:rPr>
          <w:sz w:val="28"/>
          <w:lang w:eastAsia="ru-RU"/>
        </w:rPr>
        <w:t>а с ребенком-инвалидом, который в соответствии с индивидуальной программой реабилитации или абилитации ребенка-инвалида, выданной по результатам проведения медико-социальной экспертизы, имеет ограничения основных категорий жизнедеятельности человека второй и (или) третьей степени выраженности (ограничения способности к самообслуживанию, и (или) самостоятельному передвижению, и (или) ориентации, и (или) общению, и (или) обучению, и (или) контролю своего поведения)</w:t>
      </w:r>
      <w:r>
        <w:rPr>
          <w:sz w:val="28"/>
          <w:lang w:eastAsia="ru-RU"/>
        </w:rPr>
        <w:t xml:space="preserve">, </w:t>
      </w:r>
      <w:r>
        <w:rPr>
          <w:sz w:val="28"/>
          <w:lang w:eastAsia="ru-RU"/>
        </w:rPr>
        <w:t>— независимо от возраста ребенка-инвалида,</w:t>
      </w:r>
      <w:r>
        <w:rPr>
          <w:sz w:val="28"/>
          <w:lang w:eastAsia="ru-RU"/>
        </w:rPr>
        <w:t xml:space="preserve"> стоимость оказанной ребенку медицинской помощи включает расходы на содержание одного из родителей (иного члена семьи, законного представителя), в том числе предоставление спального места и питания, и финансируется за счет средств обязательного медицинского страхования и средств краевого бюджета (по видам медицинской помощи и заболеваниям, не включенным в Территориальную программу ОМС).». </w:t>
      </w:r>
    </w:p>
    <w:p>
      <w:pPr>
        <w:pStyle w:val="Normal"/>
        <w:widowControl/>
        <w:suppressAutoHyphens w:val="true"/>
        <w:bidi w:val="0"/>
        <w:spacing w:before="0" w:after="0"/>
        <w:ind w:left="0" w:right="0" w:firstLine="709"/>
        <w:jc w:val="both"/>
        <w:rPr>
          <w:b w:val="false"/>
          <w:b w:val="false"/>
        </w:rPr>
      </w:pPr>
      <w:r>
        <w:rPr>
          <w:rFonts w:eastAsia="Times New Roman" w:cs="Times New Roman"/>
          <w:b w:val="false"/>
          <w:color w:val="auto"/>
          <w:kern w:val="0"/>
          <w:sz w:val="28"/>
          <w:szCs w:val="24"/>
          <w:lang w:val="ru-RU" w:eastAsia="ru-RU" w:bidi="ar-SA"/>
        </w:rPr>
        <w:t>2. В таблице приложения 20:</w:t>
      </w:r>
    </w:p>
    <w:p>
      <w:pPr>
        <w:pStyle w:val="ConsPlusTitle"/>
        <w:widowControl w:val="false"/>
        <w:suppressAutoHyphens w:val="true"/>
        <w:bidi w:val="0"/>
        <w:spacing w:before="0" w:after="0"/>
        <w:ind w:left="0" w:right="0" w:firstLine="709"/>
        <w:jc w:val="both"/>
        <w:rPr>
          <w:b w:val="false"/>
          <w:b w:val="false"/>
        </w:rPr>
      </w:pPr>
      <w:r>
        <w:rPr>
          <w:rFonts w:eastAsia="Times New Roman" w:cs="Times New Roman" w:ascii="Times New Roman" w:hAnsi="Times New Roman"/>
          <w:b w:val="false"/>
          <w:color w:val="auto"/>
          <w:kern w:val="0"/>
          <w:sz w:val="28"/>
          <w:szCs w:val="24"/>
          <w:lang w:val="ru-RU" w:eastAsia="ru-RU" w:bidi="ar-SA"/>
        </w:rPr>
        <w:t>1) строку 164 признать утратившей силу;</w:t>
      </w:r>
    </w:p>
    <w:p>
      <w:pPr>
        <w:pStyle w:val="ConsPlusTitle"/>
        <w:widowControl w:val="false"/>
        <w:suppressAutoHyphens w:val="true"/>
        <w:bidi w:val="0"/>
        <w:spacing w:before="0" w:after="0"/>
        <w:ind w:left="0" w:right="0" w:firstLine="709"/>
        <w:jc w:val="both"/>
        <w:rPr>
          <w:rFonts w:ascii="Times New Roman" w:hAnsi="Times New Roman" w:eastAsia="Times New Roman" w:cs="Times New Roman"/>
          <w:color w:val="auto"/>
          <w:kern w:val="0"/>
          <w:sz w:val="28"/>
          <w:szCs w:val="24"/>
          <w:lang w:val="ru-RU" w:eastAsia="ru-RU" w:bidi="ar-SA"/>
        </w:rPr>
      </w:pPr>
      <w:r>
        <w:rPr>
          <w:rFonts w:eastAsia="Times New Roman" w:cs="Times New Roman" w:ascii="Times New Roman" w:hAnsi="Times New Roman"/>
          <w:b w:val="false"/>
          <w:color w:val="auto"/>
          <w:kern w:val="0"/>
          <w:sz w:val="28"/>
          <w:szCs w:val="24"/>
          <w:lang w:val="ru-RU" w:eastAsia="ru-RU" w:bidi="ar-SA"/>
        </w:rPr>
        <w:t>2) дополнить строкой 191</w:t>
      </w:r>
      <w:r>
        <w:rPr>
          <w:rFonts w:eastAsia="Times New Roman" w:cs="Times New Roman" w:ascii="Times New Roman" w:hAnsi="Times New Roman"/>
          <w:b w:val="false"/>
          <w:color w:val="auto"/>
          <w:kern w:val="0"/>
          <w:sz w:val="28"/>
          <w:szCs w:val="24"/>
          <w:vertAlign w:val="superscript"/>
          <w:lang w:val="ru-RU" w:eastAsia="ru-RU" w:bidi="ar-SA"/>
        </w:rPr>
        <w:t>1</w:t>
      </w:r>
      <w:r>
        <w:rPr>
          <w:rFonts w:eastAsia="Times New Roman" w:cs="Times New Roman" w:ascii="Times New Roman" w:hAnsi="Times New Roman"/>
          <w:b w:val="false"/>
          <w:color w:val="auto"/>
          <w:kern w:val="0"/>
          <w:sz w:val="28"/>
          <w:szCs w:val="24"/>
          <w:lang w:val="ru-RU" w:eastAsia="ru-RU" w:bidi="ar-SA"/>
        </w:rPr>
        <w:t xml:space="preserve"> следующего содержания:</w:t>
      </w:r>
    </w:p>
    <w:p>
      <w:pPr>
        <w:pStyle w:val="ConsPlusTitle"/>
        <w:numPr>
          <w:ilvl w:val="0"/>
          <w:numId w:val="0"/>
        </w:numPr>
        <w:ind w:hanging="0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  <w:t>«</w:t>
      </w:r>
    </w:p>
    <w:tbl>
      <w:tblPr>
        <w:tblW w:w="9690" w:type="dxa"/>
        <w:jc w:val="left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noVBand="0" w:val="0000" w:noHBand="0" w:lastColumn="0" w:firstColumn="0" w:lastRow="0" w:firstRow="0"/>
      </w:tblPr>
      <w:tblGrid>
        <w:gridCol w:w="735"/>
        <w:gridCol w:w="3795"/>
        <w:gridCol w:w="5160"/>
      </w:tblGrid>
      <w:tr>
        <w:trPr/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numPr>
                <w:ilvl w:val="0"/>
                <w:numId w:val="0"/>
              </w:numPr>
              <w:bidi w:val="0"/>
              <w:spacing w:before="0" w:after="0"/>
              <w:ind w:left="0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191</w:t>
            </w:r>
            <w:r>
              <w:rPr>
                <w:rFonts w:cs="Times New Roman" w:ascii="Times New Roman" w:hAnsi="Times New Roman"/>
                <w:sz w:val="24"/>
                <w:szCs w:val="24"/>
                <w:vertAlign w:val="superscript"/>
              </w:rPr>
              <w:t>1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numPr>
                <w:ilvl w:val="0"/>
                <w:numId w:val="0"/>
              </w:numPr>
              <w:ind w:hanging="0"/>
              <w:jc w:val="both"/>
              <w:rPr>
                <w:rFonts w:cs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Рамиприл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капсулы; 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таблетки </w:t>
            </w:r>
          </w:p>
        </w:tc>
      </w:tr>
    </w:tbl>
    <w:p>
      <w:pPr>
        <w:pStyle w:val="Normal"/>
        <w:numPr>
          <w:ilvl w:val="0"/>
          <w:numId w:val="0"/>
        </w:numPr>
        <w:tabs>
          <w:tab w:val="clear" w:pos="708"/>
          <w:tab w:val="left" w:pos="7371" w:leader="none"/>
        </w:tabs>
        <w:ind w:hanging="0"/>
        <w:jc w:val="right"/>
        <w:rPr>
          <w:szCs w:val="28"/>
        </w:rPr>
      </w:pPr>
      <w:r>
        <w:rPr>
          <w:szCs w:val="28"/>
        </w:rPr>
        <w:t>»;</w:t>
      </w:r>
    </w:p>
    <w:p>
      <w:pPr>
        <w:pStyle w:val="Normal"/>
        <w:tabs>
          <w:tab w:val="clear" w:pos="708"/>
          <w:tab w:val="left" w:pos="7371" w:leader="none"/>
        </w:tabs>
        <w:ind w:firstLine="709"/>
        <w:jc w:val="both"/>
        <w:rPr/>
      </w:pPr>
      <w:r>
        <w:rPr/>
        <w:t xml:space="preserve">3) </w:t>
      </w:r>
      <w:r>
        <w:rPr>
          <w:rFonts w:cs="Times New Roman"/>
          <w:b w:val="false"/>
          <w:sz w:val="28"/>
          <w:szCs w:val="28"/>
        </w:rPr>
        <w:t>дополнить строкой 273</w:t>
      </w:r>
      <w:r>
        <w:rPr>
          <w:rFonts w:cs="Times New Roman"/>
          <w:b w:val="false"/>
          <w:sz w:val="28"/>
          <w:szCs w:val="28"/>
          <w:vertAlign w:val="superscript"/>
        </w:rPr>
        <w:t>1</w:t>
      </w:r>
      <w:r>
        <w:rPr>
          <w:rFonts w:cs="Times New Roman"/>
          <w:b w:val="false"/>
          <w:sz w:val="28"/>
          <w:szCs w:val="28"/>
        </w:rPr>
        <w:t xml:space="preserve"> следующего содержания:</w:t>
      </w:r>
    </w:p>
    <w:p>
      <w:pPr>
        <w:pStyle w:val="ConsPlusTitle"/>
        <w:numPr>
          <w:ilvl w:val="0"/>
          <w:numId w:val="0"/>
        </w:numPr>
        <w:ind w:hanging="0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  <w:t>«</w:t>
      </w:r>
    </w:p>
    <w:tbl>
      <w:tblPr>
        <w:tblW w:w="9690" w:type="dxa"/>
        <w:jc w:val="left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noVBand="0" w:val="0000" w:noHBand="0" w:lastColumn="0" w:firstColumn="0" w:lastRow="0" w:firstRow="0"/>
      </w:tblPr>
      <w:tblGrid>
        <w:gridCol w:w="735"/>
        <w:gridCol w:w="3795"/>
        <w:gridCol w:w="5160"/>
      </w:tblGrid>
      <w:tr>
        <w:trPr/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numPr>
                <w:ilvl w:val="0"/>
                <w:numId w:val="0"/>
              </w:numPr>
              <w:bidi w:val="0"/>
              <w:spacing w:before="0" w:after="0"/>
              <w:ind w:left="0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273</w:t>
            </w:r>
            <w:r>
              <w:rPr>
                <w:rFonts w:cs="Times New Roman" w:ascii="Times New Roman" w:hAnsi="Times New Roman"/>
                <w:sz w:val="24"/>
                <w:szCs w:val="24"/>
                <w:vertAlign w:val="superscript"/>
              </w:rPr>
              <w:t>1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ефотаксим + [сульбактам]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порошок для приготовления раствора для внутривенного и внутримышечного введения </w:t>
            </w:r>
          </w:p>
        </w:tc>
      </w:tr>
    </w:tbl>
    <w:p>
      <w:pPr>
        <w:pStyle w:val="Normal"/>
        <w:numPr>
          <w:ilvl w:val="0"/>
          <w:numId w:val="0"/>
        </w:numPr>
        <w:tabs>
          <w:tab w:val="clear" w:pos="708"/>
          <w:tab w:val="left" w:pos="9750" w:leader="none"/>
        </w:tabs>
        <w:ind w:hanging="0"/>
        <w:jc w:val="right"/>
        <w:rPr>
          <w:szCs w:val="28"/>
        </w:rPr>
      </w:pPr>
      <w:r>
        <w:rPr>
          <w:szCs w:val="28"/>
        </w:rPr>
        <w:t>»;</w:t>
      </w:r>
    </w:p>
    <w:p>
      <w:pPr>
        <w:pStyle w:val="Normal"/>
        <w:widowControl/>
        <w:tabs>
          <w:tab w:val="clear" w:pos="708"/>
          <w:tab w:val="left" w:pos="9750" w:leader="none"/>
        </w:tabs>
        <w:suppressAutoHyphens w:val="true"/>
        <w:bidi w:val="0"/>
        <w:spacing w:before="0" w:after="0"/>
        <w:ind w:left="0" w:right="0" w:firstLine="709"/>
        <w:jc w:val="both"/>
        <w:rPr/>
      </w:pPr>
      <w:r>
        <w:rPr/>
        <w:t xml:space="preserve">4) графу 3 строки 300 </w:t>
      </w:r>
      <w:r>
        <w:rPr>
          <w:rFonts w:cs="Times New Roman"/>
          <w:b w:val="false"/>
          <w:sz w:val="28"/>
          <w:szCs w:val="28"/>
        </w:rPr>
        <w:t xml:space="preserve">дополнить словами </w:t>
      </w:r>
      <w:r>
        <w:rPr>
          <w:rFonts w:cs="Times New Roman" w:ascii="Times New Roman" w:hAnsi="Times New Roman"/>
          <w:b w:val="false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порошок для приготовления концентрата для приготовления раствора для инфузий и раствора для приема внутрь</w:t>
      </w:r>
      <w:r>
        <w:rPr>
          <w:rFonts w:ascii="Times New Roman" w:hAnsi="Times New Roman"/>
          <w:sz w:val="28"/>
          <w:szCs w:val="28"/>
        </w:rPr>
        <w:t>»;</w:t>
      </w:r>
    </w:p>
    <w:p>
      <w:pPr>
        <w:pStyle w:val="Normal"/>
        <w:widowControl/>
        <w:tabs>
          <w:tab w:val="clear" w:pos="708"/>
          <w:tab w:val="left" w:pos="9750" w:leader="none"/>
        </w:tabs>
        <w:suppressAutoHyphens w:val="true"/>
        <w:bidi w:val="0"/>
        <w:spacing w:before="0" w:after="0"/>
        <w:ind w:left="0" w:right="0" w:firstLine="709"/>
        <w:jc w:val="both"/>
        <w:rPr/>
      </w:pPr>
      <w:r>
        <w:rPr>
          <w:rFonts w:ascii="Times New Roman" w:hAnsi="Times New Roman"/>
          <w:sz w:val="28"/>
          <w:szCs w:val="28"/>
        </w:rPr>
        <w:t>5) дополнить ст</w:t>
      </w:r>
      <w:r>
        <w:rPr>
          <w:rFonts w:cs="Times New Roman"/>
          <w:b w:val="false"/>
          <w:sz w:val="28"/>
          <w:szCs w:val="28"/>
        </w:rPr>
        <w:t>рокой 380</w:t>
      </w:r>
      <w:r>
        <w:rPr>
          <w:rFonts w:cs="Times New Roman"/>
          <w:b w:val="false"/>
          <w:sz w:val="28"/>
          <w:szCs w:val="28"/>
          <w:vertAlign w:val="superscript"/>
        </w:rPr>
        <w:t>1</w:t>
      </w:r>
      <w:r>
        <w:rPr>
          <w:rFonts w:cs="Times New Roman"/>
          <w:b w:val="false"/>
          <w:sz w:val="28"/>
          <w:szCs w:val="28"/>
        </w:rPr>
        <w:t xml:space="preserve"> следующего содержания:</w:t>
      </w:r>
    </w:p>
    <w:p>
      <w:pPr>
        <w:pStyle w:val="ConsPlusTitle"/>
        <w:numPr>
          <w:ilvl w:val="0"/>
          <w:numId w:val="0"/>
        </w:numPr>
        <w:ind w:hanging="0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  <w:t>«</w:t>
      </w:r>
    </w:p>
    <w:tbl>
      <w:tblPr>
        <w:tblW w:w="9690" w:type="dxa"/>
        <w:jc w:val="left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noVBand="0" w:val="0000" w:noHBand="0" w:lastColumn="0" w:firstColumn="0" w:lastRow="0" w:firstRow="0"/>
      </w:tblPr>
      <w:tblGrid>
        <w:gridCol w:w="735"/>
        <w:gridCol w:w="3795"/>
        <w:gridCol w:w="5160"/>
      </w:tblGrid>
      <w:tr>
        <w:trPr/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numPr>
                <w:ilvl w:val="0"/>
                <w:numId w:val="0"/>
              </w:numPr>
              <w:bidi w:val="0"/>
              <w:spacing w:before="0" w:after="0"/>
              <w:ind w:left="0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380</w:t>
            </w:r>
            <w:r>
              <w:rPr>
                <w:rFonts w:cs="Times New Roman" w:ascii="Times New Roman" w:hAnsi="Times New Roman"/>
                <w:sz w:val="24"/>
                <w:szCs w:val="24"/>
                <w:vertAlign w:val="superscript"/>
              </w:rPr>
              <w:t>1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енофовир + элсульфавирин + эмтрицитабин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lineRule="auto" w:line="240" w:before="0" w:after="0"/>
              <w:ind w:right="454" w:hanging="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таблетки, покрытые пленочной оболочкой</w:t>
            </w:r>
          </w:p>
        </w:tc>
      </w:tr>
    </w:tbl>
    <w:p>
      <w:pPr>
        <w:pStyle w:val="Normal"/>
        <w:numPr>
          <w:ilvl w:val="0"/>
          <w:numId w:val="0"/>
        </w:numPr>
        <w:tabs>
          <w:tab w:val="clear" w:pos="708"/>
          <w:tab w:val="left" w:pos="9750" w:leader="none"/>
        </w:tabs>
        <w:ind w:hanging="0"/>
        <w:jc w:val="right"/>
        <w:rPr>
          <w:szCs w:val="28"/>
        </w:rPr>
      </w:pPr>
      <w:r>
        <w:rPr>
          <w:szCs w:val="28"/>
        </w:rPr>
        <w:t>»;</w:t>
      </w:r>
    </w:p>
    <w:p>
      <w:pPr>
        <w:pStyle w:val="ConsPlusTitle"/>
        <w:widowControl w:val="false"/>
        <w:suppressAutoHyphens w:val="true"/>
        <w:bidi w:val="0"/>
        <w:spacing w:before="0" w:after="0"/>
        <w:ind w:left="0" w:right="0" w:firstLine="709"/>
        <w:jc w:val="both"/>
        <w:rPr/>
      </w:pPr>
      <w:r>
        <w:rPr>
          <w:rFonts w:cs="Times New Roman" w:ascii="Times New Roman" w:hAnsi="Times New Roman"/>
          <w:b w:val="false"/>
          <w:sz w:val="28"/>
          <w:szCs w:val="28"/>
        </w:rPr>
        <w:t>6</w:t>
      </w:r>
      <w:r>
        <w:rPr>
          <w:rFonts w:cs="Times New Roman" w:ascii="Times New Roman" w:hAnsi="Times New Roman"/>
          <w:b w:val="false"/>
          <w:sz w:val="28"/>
          <w:szCs w:val="28"/>
        </w:rPr>
        <w:t xml:space="preserve">) </w:t>
      </w:r>
      <w:r>
        <w:rPr>
          <w:rFonts w:cs="Times New Roman" w:ascii="Times New Roman" w:hAnsi="Times New Roman"/>
          <w:b w:val="false"/>
          <w:sz w:val="28"/>
          <w:szCs w:val="28"/>
        </w:rPr>
        <w:t>в графе 2 строки 398 слова «Сыворотка противодифтерийная» заменить словами «Антитоксин дифтерийный»;</w:t>
      </w:r>
    </w:p>
    <w:p>
      <w:pPr>
        <w:pStyle w:val="ConsPlusTitle"/>
        <w:widowControl w:val="false"/>
        <w:suppressAutoHyphens w:val="true"/>
        <w:bidi w:val="0"/>
        <w:spacing w:before="0" w:after="0"/>
        <w:ind w:left="0" w:right="0" w:firstLine="709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  <w:t>7) в графе 2 строки 399 слова «Сыворотка противостолбнячная» заменить словами «Антитоксин столбнячный»;</w:t>
      </w:r>
    </w:p>
    <w:p>
      <w:pPr>
        <w:pStyle w:val="ConsPlusTitle"/>
        <w:widowControl w:val="false"/>
        <w:suppressAutoHyphens w:val="true"/>
        <w:bidi w:val="0"/>
        <w:spacing w:before="0" w:after="0"/>
        <w:ind w:left="0" w:right="0" w:firstLine="709"/>
        <w:jc w:val="both"/>
        <w:rPr/>
      </w:pPr>
      <w:r>
        <w:rPr>
          <w:rFonts w:cs="Times New Roman" w:ascii="Times New Roman" w:hAnsi="Times New Roman"/>
          <w:b w:val="false"/>
          <w:sz w:val="28"/>
          <w:szCs w:val="28"/>
        </w:rPr>
        <w:t xml:space="preserve">8) </w:t>
      </w:r>
      <w:r>
        <w:rPr>
          <w:rFonts w:cs="Times New Roman" w:ascii="Times New Roman" w:hAnsi="Times New Roman"/>
          <w:b w:val="false"/>
          <w:sz w:val="28"/>
          <w:szCs w:val="28"/>
        </w:rPr>
        <w:t>дополнить ст</w:t>
      </w:r>
      <w:r>
        <w:rPr>
          <w:rFonts w:cs="Times New Roman" w:ascii="Times New Roman" w:hAnsi="Times New Roman"/>
          <w:b w:val="false"/>
          <w:sz w:val="28"/>
          <w:szCs w:val="28"/>
        </w:rPr>
        <w:t>рокой 512</w:t>
      </w:r>
      <w:r>
        <w:rPr>
          <w:rFonts w:cs="Times New Roman" w:ascii="Times New Roman" w:hAnsi="Times New Roman"/>
          <w:b w:val="false"/>
          <w:sz w:val="28"/>
          <w:szCs w:val="28"/>
          <w:vertAlign w:val="superscript"/>
        </w:rPr>
        <w:t>1</w:t>
      </w:r>
      <w:r>
        <w:rPr>
          <w:rFonts w:cs="Times New Roman" w:ascii="Times New Roman" w:hAnsi="Times New Roman"/>
          <w:b w:val="false"/>
          <w:sz w:val="28"/>
          <w:szCs w:val="28"/>
        </w:rPr>
        <w:t xml:space="preserve"> следующего содержания:</w:t>
      </w:r>
    </w:p>
    <w:p>
      <w:pPr>
        <w:pStyle w:val="ConsPlusTitle"/>
        <w:numPr>
          <w:ilvl w:val="0"/>
          <w:numId w:val="0"/>
        </w:numPr>
        <w:ind w:hanging="0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  <w:t>«</w:t>
      </w:r>
    </w:p>
    <w:tbl>
      <w:tblPr>
        <w:tblW w:w="9690" w:type="dxa"/>
        <w:jc w:val="left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noVBand="0" w:val="0000" w:noHBand="0" w:lastColumn="0" w:firstColumn="0" w:lastRow="0" w:firstRow="0"/>
      </w:tblPr>
      <w:tblGrid>
        <w:gridCol w:w="735"/>
        <w:gridCol w:w="3795"/>
        <w:gridCol w:w="5160"/>
      </w:tblGrid>
      <w:tr>
        <w:trPr/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numPr>
                <w:ilvl w:val="0"/>
                <w:numId w:val="0"/>
              </w:numPr>
              <w:bidi w:val="0"/>
              <w:spacing w:before="0" w:after="0"/>
              <w:ind w:left="0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512</w:t>
            </w:r>
            <w:r>
              <w:rPr>
                <w:rFonts w:cs="Times New Roman" w:ascii="Times New Roman" w:hAnsi="Times New Roman"/>
                <w:sz w:val="24"/>
                <w:szCs w:val="24"/>
                <w:vertAlign w:val="superscript"/>
              </w:rPr>
              <w:t>1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hanging="0"/>
              <w:jc w:val="both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Пэгаспаргаза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lineRule="auto" w:line="240" w:before="0" w:after="0"/>
              <w:ind w:right="454" w:hanging="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лиофилизат для приготовления раствора для внутримышечного введения и инфузий</w:t>
            </w:r>
          </w:p>
        </w:tc>
      </w:tr>
    </w:tbl>
    <w:p>
      <w:pPr>
        <w:pStyle w:val="ConsPlusTitle"/>
        <w:numPr>
          <w:ilvl w:val="0"/>
          <w:numId w:val="0"/>
        </w:numPr>
        <w:ind w:hanging="0"/>
        <w:jc w:val="right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  <w:t>»;</w:t>
      </w:r>
    </w:p>
    <w:p>
      <w:pPr>
        <w:pStyle w:val="ConsPlusTitle"/>
        <w:widowControl w:val="false"/>
        <w:suppressAutoHyphens w:val="true"/>
        <w:bidi w:val="0"/>
        <w:spacing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9) графу 3 строки 625 </w:t>
      </w:r>
      <w:r>
        <w:rPr>
          <w:rFonts w:cs="Times New Roman" w:ascii="Times New Roman" w:hAnsi="Times New Roman"/>
          <w:b w:val="false"/>
          <w:bCs w:val="false"/>
          <w:sz w:val="28"/>
          <w:szCs w:val="28"/>
        </w:rPr>
        <w:t xml:space="preserve">дополнить словами </w:t>
      </w:r>
      <w:r>
        <w:rPr>
          <w:rFonts w:cs="Times New Roman" w:ascii="Times New Roman" w:hAnsi="Times New Roman"/>
          <w:b w:val="false"/>
          <w:bCs w:val="false"/>
          <w:sz w:val="28"/>
          <w:szCs w:val="28"/>
        </w:rPr>
        <w:t>«раствор для приема внутрь</w:t>
      </w:r>
      <w:r>
        <w:rPr>
          <w:rFonts w:ascii="Times New Roman" w:hAnsi="Times New Roman"/>
          <w:b w:val="false"/>
          <w:bCs w:val="false"/>
          <w:sz w:val="28"/>
          <w:szCs w:val="28"/>
        </w:rPr>
        <w:t>»;</w:t>
      </w:r>
    </w:p>
    <w:p>
      <w:pPr>
        <w:pStyle w:val="ConsPlusTitle"/>
        <w:widowControl w:val="false"/>
        <w:suppressAutoHyphens w:val="true"/>
        <w:bidi w:val="0"/>
        <w:spacing w:before="0" w:after="0"/>
        <w:ind w:left="0" w:right="0" w:firstLine="709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 xml:space="preserve">10) </w:t>
      </w:r>
      <w:r>
        <w:rPr>
          <w:rFonts w:cs="Times New Roman" w:ascii="Times New Roman" w:hAnsi="Times New Roman"/>
          <w:b w:val="false"/>
          <w:bCs w:val="false"/>
          <w:sz w:val="28"/>
          <w:szCs w:val="28"/>
        </w:rPr>
        <w:t>дополнить ст</w:t>
      </w:r>
      <w:r>
        <w:rPr>
          <w:rFonts w:cs="Times New Roman" w:ascii="Times New Roman" w:hAnsi="Times New Roman"/>
          <w:b w:val="false"/>
          <w:bCs w:val="false"/>
          <w:sz w:val="28"/>
          <w:szCs w:val="28"/>
        </w:rPr>
        <w:t>рокой 780</w:t>
      </w:r>
      <w:r>
        <w:rPr>
          <w:rFonts w:cs="Times New Roman" w:ascii="Times New Roman" w:hAnsi="Times New Roman"/>
          <w:b w:val="false"/>
          <w:bCs w:val="false"/>
          <w:sz w:val="28"/>
          <w:szCs w:val="28"/>
          <w:vertAlign w:val="superscript"/>
        </w:rPr>
        <w:t>1</w:t>
      </w:r>
      <w:r>
        <w:rPr>
          <w:rFonts w:cs="Times New Roman" w:ascii="Times New Roman" w:hAnsi="Times New Roman"/>
          <w:b w:val="false"/>
          <w:bCs w:val="false"/>
          <w:sz w:val="28"/>
          <w:szCs w:val="28"/>
        </w:rPr>
        <w:t xml:space="preserve"> следующего содержания:</w:t>
      </w:r>
    </w:p>
    <w:p>
      <w:pPr>
        <w:pStyle w:val="ConsPlusTitle"/>
        <w:numPr>
          <w:ilvl w:val="0"/>
          <w:numId w:val="0"/>
        </w:numPr>
        <w:ind w:hanging="0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  <w:t>«</w:t>
      </w:r>
    </w:p>
    <w:tbl>
      <w:tblPr>
        <w:tblW w:w="9690" w:type="dxa"/>
        <w:jc w:val="left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noVBand="0" w:val="0000" w:noHBand="0" w:lastColumn="0" w:firstColumn="0" w:lastRow="0" w:firstRow="0"/>
      </w:tblPr>
      <w:tblGrid>
        <w:gridCol w:w="735"/>
        <w:gridCol w:w="3795"/>
        <w:gridCol w:w="5160"/>
      </w:tblGrid>
      <w:tr>
        <w:trPr/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numPr>
                <w:ilvl w:val="0"/>
                <w:numId w:val="0"/>
              </w:numPr>
              <w:bidi w:val="0"/>
              <w:spacing w:before="0" w:after="0"/>
              <w:ind w:left="0" w:right="0" w:hanging="0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780</w:t>
            </w:r>
            <w:r>
              <w:rPr>
                <w:rFonts w:cs="Times New Roman" w:ascii="Times New Roman" w:hAnsi="Times New Roman"/>
                <w:sz w:val="24"/>
                <w:szCs w:val="24"/>
                <w:vertAlign w:val="superscript"/>
              </w:rPr>
              <w:t>1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альция полистиролсульфонат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lineRule="auto" w:line="240" w:before="0" w:after="0"/>
              <w:ind w:right="454" w:hanging="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 xml:space="preserve">порошок для приготовления суспензии для приема внутрь </w:t>
            </w:r>
          </w:p>
        </w:tc>
      </w:tr>
    </w:tbl>
    <w:p>
      <w:pPr>
        <w:pStyle w:val="ConsPlusTitle"/>
        <w:numPr>
          <w:ilvl w:val="0"/>
          <w:numId w:val="0"/>
        </w:numPr>
        <w:ind w:hanging="0"/>
        <w:jc w:val="right"/>
        <w:rPr>
          <w:rFonts w:ascii="Times New Roman" w:hAnsi="Times New Roman" w:cs="Times New Roman"/>
          <w:b w:val="false"/>
          <w:b w:val="false"/>
          <w:bCs w:val="false"/>
          <w:sz w:val="28"/>
          <w:szCs w:val="28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</w:rPr>
        <w:t>».</w:t>
      </w:r>
    </w:p>
    <w:p>
      <w:pPr>
        <w:pStyle w:val="Normal"/>
        <w:tabs>
          <w:tab w:val="clear" w:pos="708"/>
          <w:tab w:val="left" w:pos="9750" w:leader="none"/>
        </w:tabs>
        <w:ind w:hanging="0"/>
        <w:jc w:val="both"/>
        <w:rPr/>
      </w:pPr>
      <w:r>
        <w:rPr/>
      </w:r>
    </w:p>
    <w:p>
      <w:pPr>
        <w:pStyle w:val="Normal"/>
        <w:tabs>
          <w:tab w:val="clear" w:pos="708"/>
          <w:tab w:val="left" w:pos="7371" w:leader="none"/>
        </w:tabs>
        <w:ind w:hanging="0"/>
        <w:jc w:val="both"/>
        <w:rPr>
          <w:szCs w:val="28"/>
        </w:rPr>
      </w:pPr>
      <w:r>
        <w:rPr/>
      </w:r>
    </w:p>
    <w:sectPr>
      <w:headerReference w:type="default" r:id="rId3"/>
      <w:type w:val="nextPage"/>
      <w:pgSz w:w="11906" w:h="16838"/>
      <w:pgMar w:left="1418" w:right="707" w:gutter="0" w:header="709" w:top="993" w:footer="0" w:bottom="1134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empora LGC Uni">
    <w:charset w:val="01"/>
    <w:family w:val="roman"/>
    <w:pitch w:val="variable"/>
  </w:font>
  <w:font w:name="Times New Roman">
    <w:charset w:val="01"/>
    <w:family w:val="roman"/>
    <w:pitch w:val="variable"/>
  </w:font>
  <w:font w:name="Open Sans">
    <w:charset w:val="01"/>
    <w:family w:val="roman"/>
    <w:pitch w:val="variable"/>
  </w:font>
  <w:font w:name="Arial">
    <w:charset w:val="01"/>
    <w:family w:val="roman"/>
    <w:pitch w:val="variable"/>
  </w:font>
  <w:font w:name="Tahoma">
    <w:charset w:val="01"/>
    <w:family w:val="roman"/>
    <w:pitch w:val="variable"/>
  </w:font>
  <w:font w:name="Courier New">
    <w:charset w:val="01"/>
    <w:family w:val="roman"/>
    <w:pitch w:val="variable"/>
  </w:font>
  <w:font w:name="Calibri">
    <w:charset w:val="01"/>
    <w:family w:val="roman"/>
    <w:pitch w:val="variable"/>
  </w:font>
  <w:font w:name="Times New Roman CYR">
    <w:charset w:val="01"/>
    <w:family w:val="roman"/>
    <w:pitch w:val="variable"/>
  </w:font>
  <w:font w:name="Times New Roman">
    <w:charset w:val="01"/>
    <w:family w:val="auto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1484334376"/>
    </w:sdtPr>
    <w:sdtContent>
      <w:p>
        <w:pPr>
          <w:pStyle w:val="Style29"/>
          <w:jc w:val="center"/>
          <w:rPr>
            <w:shd w:fill="auto" w:val="clear"/>
          </w:rPr>
        </w:pPr>
        <w:r>
          <w:rPr>
            <w:sz w:val="24"/>
            <w:szCs w:val="24"/>
            <w:shd w:fill="auto" w:val="clear"/>
          </w:rPr>
          <w:fldChar w:fldCharType="begin"/>
        </w:r>
        <w:r>
          <w:rPr>
            <w:sz w:val="24"/>
            <w:shd w:fill="auto" w:val="clear"/>
            <w:szCs w:val="24"/>
          </w:rPr>
          <w:instrText xml:space="preserve"> PAGE </w:instrText>
        </w:r>
        <w:r>
          <w:rPr>
            <w:sz w:val="24"/>
            <w:shd w:fill="auto" w:val="clear"/>
            <w:szCs w:val="24"/>
          </w:rPr>
          <w:fldChar w:fldCharType="separate"/>
        </w:r>
        <w:r>
          <w:rPr>
            <w:sz w:val="24"/>
            <w:shd w:fill="auto" w:val="clear"/>
            <w:szCs w:val="24"/>
          </w:rPr>
          <w:t>3</w:t>
        </w:r>
        <w:r>
          <w:rPr>
            <w:sz w:val="24"/>
            <w:shd w:fill="auto" w:val="clear"/>
            <w:szCs w:val="24"/>
          </w:rPr>
          <w:fldChar w:fldCharType="end"/>
        </w:r>
      </w:p>
    </w:sdtContent>
  </w:sdt>
  <w:p>
    <w:pPr>
      <w:pStyle w:val="Style29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3926a3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Гипертекстовая ссылка"/>
    <w:qFormat/>
    <w:rsid w:val="00733dc4"/>
    <w:rPr>
      <w:b/>
      <w:bCs/>
      <w:color w:val="008000"/>
      <w:sz w:val="20"/>
      <w:szCs w:val="20"/>
      <w:u w:val="single"/>
    </w:rPr>
  </w:style>
  <w:style w:type="character" w:styleId="Style15">
    <w:name w:val="Hyperlink"/>
    <w:rsid w:val="005f2bc6"/>
    <w:rPr>
      <w:color w:val="0000FF"/>
      <w:u w:val="single"/>
    </w:rPr>
  </w:style>
  <w:style w:type="character" w:styleId="Style16" w:customStyle="1">
    <w:name w:val="Текст концевой сноски Знак"/>
    <w:basedOn w:val="DefaultParagraphFont"/>
    <w:qFormat/>
    <w:rsid w:val="00342d13"/>
    <w:rPr/>
  </w:style>
  <w:style w:type="character" w:styleId="Style17">
    <w:name w:val="Символ концевой сноски"/>
    <w:qFormat/>
    <w:rsid w:val="00342d13"/>
    <w:rPr>
      <w:vertAlign w:val="superscript"/>
    </w:rPr>
  </w:style>
  <w:style w:type="character" w:styleId="Style18">
    <w:name w:val="Endnote Reference"/>
    <w:rPr>
      <w:vertAlign w:val="superscript"/>
    </w:rPr>
  </w:style>
  <w:style w:type="character" w:styleId="Style19" w:customStyle="1">
    <w:name w:val="Верхний колонтитул Знак"/>
    <w:basedOn w:val="DefaultParagraphFont"/>
    <w:uiPriority w:val="99"/>
    <w:qFormat/>
    <w:rsid w:val="007e5f5c"/>
    <w:rPr>
      <w:sz w:val="28"/>
      <w:szCs w:val="24"/>
    </w:rPr>
  </w:style>
  <w:style w:type="character" w:styleId="Style20" w:customStyle="1">
    <w:name w:val="Нижний колонтитул Знак"/>
    <w:basedOn w:val="DefaultParagraphFont"/>
    <w:qFormat/>
    <w:rsid w:val="007e5f5c"/>
    <w:rPr>
      <w:sz w:val="28"/>
      <w:szCs w:val="24"/>
    </w:rPr>
  </w:style>
  <w:style w:type="character" w:styleId="Linenumber">
    <w:name w:val="line number"/>
    <w:basedOn w:val="DefaultParagraphFont"/>
    <w:qFormat/>
    <w:rsid w:val="00cc6c7e"/>
    <w:rPr/>
  </w:style>
  <w:style w:type="paragraph" w:styleId="Style21">
    <w:name w:val="Заголовок"/>
    <w:basedOn w:val="Normal"/>
    <w:next w:val="Style22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Style22">
    <w:name w:val="Body Text"/>
    <w:basedOn w:val="Normal"/>
    <w:pPr>
      <w:spacing w:lineRule="auto" w:line="276" w:before="0" w:after="140"/>
    </w:pPr>
    <w:rPr/>
  </w:style>
  <w:style w:type="paragraph" w:styleId="Style23">
    <w:name w:val="List"/>
    <w:basedOn w:val="Style22"/>
    <w:pPr/>
    <w:rPr>
      <w:rFonts w:cs="Lohit Devanagari"/>
    </w:rPr>
  </w:style>
  <w:style w:type="paragraph" w:styleId="Style24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5">
    <w:name w:val="Указатель"/>
    <w:basedOn w:val="Normal"/>
    <w:qFormat/>
    <w:pPr>
      <w:suppressLineNumbers/>
    </w:pPr>
    <w:rPr>
      <w:rFonts w:cs="Lohit Devanagari"/>
    </w:rPr>
  </w:style>
  <w:style w:type="paragraph" w:styleId="ConsPlusTitle" w:customStyle="1">
    <w:name w:val="ConsPlusTitle"/>
    <w:qFormat/>
    <w:rsid w:val="0048261b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Arial"/>
      <w:b/>
      <w:bCs/>
      <w:color w:val="auto"/>
      <w:kern w:val="0"/>
      <w:sz w:val="20"/>
      <w:szCs w:val="20"/>
      <w:lang w:val="ru-RU" w:eastAsia="ru-RU" w:bidi="ar-SA"/>
    </w:rPr>
  </w:style>
  <w:style w:type="paragraph" w:styleId="ConsPlusNormal" w:customStyle="1">
    <w:name w:val="ConsPlusNormal"/>
    <w:qFormat/>
    <w:rsid w:val="0048261b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BalloonText">
    <w:name w:val="Balloon Text"/>
    <w:basedOn w:val="Normal"/>
    <w:semiHidden/>
    <w:qFormat/>
    <w:rsid w:val="00fd68ed"/>
    <w:pPr/>
    <w:rPr>
      <w:rFonts w:ascii="Tahoma" w:hAnsi="Tahoma" w:cs="Tahoma"/>
      <w:sz w:val="16"/>
      <w:szCs w:val="16"/>
    </w:rPr>
  </w:style>
  <w:style w:type="paragraph" w:styleId="Style26" w:customStyle="1">
    <w:name w:val="Комментарий"/>
    <w:basedOn w:val="Normal"/>
    <w:next w:val="Normal"/>
    <w:qFormat/>
    <w:rsid w:val="00fa11b3"/>
    <w:pPr>
      <w:ind w:left="170" w:hanging="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Style27">
    <w:name w:val="Endnote Text"/>
    <w:basedOn w:val="Normal"/>
    <w:link w:val="Style16"/>
    <w:rsid w:val="00342d13"/>
    <w:pPr/>
    <w:rPr>
      <w:sz w:val="20"/>
      <w:szCs w:val="20"/>
    </w:rPr>
  </w:style>
  <w:style w:type="paragraph" w:styleId="ConsPlusNonformat" w:customStyle="1">
    <w:name w:val="ConsPlusNonformat"/>
    <w:uiPriority w:val="99"/>
    <w:qFormat/>
    <w:rsid w:val="00b0143f"/>
    <w:pPr>
      <w:widowControl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NoSpacing">
    <w:name w:val="No Spacing"/>
    <w:qFormat/>
    <w:rsid w:val="009b185d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ru-RU" w:eastAsia="en-US" w:bidi="ar-SA"/>
    </w:rPr>
  </w:style>
  <w:style w:type="paragraph" w:styleId="ListParagraph">
    <w:name w:val="List Paragraph"/>
    <w:basedOn w:val="Normal"/>
    <w:uiPriority w:val="34"/>
    <w:qFormat/>
    <w:rsid w:val="0053574d"/>
    <w:pPr>
      <w:spacing w:before="0" w:after="0"/>
      <w:ind w:left="720" w:hanging="0"/>
      <w:contextualSpacing/>
    </w:pPr>
    <w:rPr/>
  </w:style>
  <w:style w:type="paragraph" w:styleId="Style28">
    <w:name w:val="Колонтитул"/>
    <w:basedOn w:val="Normal"/>
    <w:qFormat/>
    <w:pPr/>
    <w:rPr/>
  </w:style>
  <w:style w:type="paragraph" w:styleId="Style29">
    <w:name w:val="Header"/>
    <w:basedOn w:val="Normal"/>
    <w:link w:val="Style19"/>
    <w:uiPriority w:val="99"/>
    <w:rsid w:val="007e5f5c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30">
    <w:name w:val="Footer"/>
    <w:basedOn w:val="Normal"/>
    <w:link w:val="Style20"/>
    <w:rsid w:val="007e5f5c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48261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0305BC-F4F6-4949-8E14-B011F8EA9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1785</TotalTime>
  <Application>LibreOffice/7.4.4.2$Linux_X86_64 LibreOffice_project/40$Build-2</Application>
  <AppVersion>15.0000</AppVersion>
  <Pages>3</Pages>
  <Words>494</Words>
  <Characters>3319</Characters>
  <CharactersWithSpaces>3767</CharactersWithSpaces>
  <Paragraphs>61</Paragraphs>
  <Company>**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2022-12-07T02:32:00Z</dcterms:created>
  <dc:creator>*</dc:creator>
  <dc:description/>
  <dc:language>ru-RU</dc:language>
  <cp:lastModifiedBy/>
  <cp:lastPrinted>2023-02-28T13:44:57Z</cp:lastPrinted>
  <dcterms:modified xsi:type="dcterms:W3CDTF">2023-04-26T16:54:54Z</dcterms:modified>
  <cp:revision>58</cp:revision>
  <dc:subject/>
  <dc:title>«Форма бланка постановления Губернатора Камчатского края"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